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DF4" w:rsidRPr="00497DF4" w:rsidRDefault="00497DF4" w:rsidP="00497DF4">
      <w:pPr>
        <w:pStyle w:val="NormalWeb"/>
        <w:spacing w:before="0" w:beforeAutospacing="0" w:after="180" w:afterAutospacing="0" w:line="384" w:lineRule="atLeast"/>
        <w:rPr>
          <w:rFonts w:ascii="Arial" w:hAnsi="Arial" w:cs="Arial"/>
          <w:b/>
          <w:bCs/>
          <w:color w:val="34495E"/>
          <w:sz w:val="18"/>
          <w:szCs w:val="18"/>
          <w:u w:val="single"/>
        </w:rPr>
      </w:pPr>
      <w:r w:rsidRPr="00497DF4">
        <w:rPr>
          <w:rFonts w:ascii="Arial" w:hAnsi="Arial" w:cs="Arial"/>
          <w:b/>
          <w:bCs/>
          <w:color w:val="34495E"/>
          <w:sz w:val="18"/>
          <w:szCs w:val="18"/>
          <w:u w:val="single"/>
        </w:rPr>
        <w:t>40_Running the analysis</w:t>
      </w:r>
    </w:p>
    <w:p w:rsidR="00497DF4" w:rsidRDefault="00497DF4" w:rsidP="00497DF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Now let's run the analysis either from analyze menu and then clicking on run analysis or by directly pressing F5 on keyboard. You can also run from this shortcut.</w:t>
      </w:r>
    </w:p>
    <w:p w:rsidR="00497DF4" w:rsidRDefault="00497DF4" w:rsidP="00497DF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you have not saved your model until now, please save it otherwise ETABS will prompt you to save the model before you run the analysis.</w:t>
      </w:r>
    </w:p>
    <w:p w:rsidR="00497DF4" w:rsidRDefault="00497DF4" w:rsidP="00497DF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 xml:space="preserve">Make sure you save the model in a separate folder instead of saving it directly in common places like desktop or my documents, because ETABS will create many </w:t>
      </w:r>
      <w:proofErr w:type="spellStart"/>
      <w:r>
        <w:rPr>
          <w:rFonts w:ascii="Arial" w:hAnsi="Arial" w:cs="Arial"/>
          <w:color w:val="34495E"/>
          <w:sz w:val="18"/>
          <w:szCs w:val="18"/>
        </w:rPr>
        <w:t>many</w:t>
      </w:r>
      <w:proofErr w:type="spellEnd"/>
      <w:r>
        <w:rPr>
          <w:rFonts w:ascii="Arial" w:hAnsi="Arial" w:cs="Arial"/>
          <w:color w:val="34495E"/>
          <w:sz w:val="18"/>
          <w:szCs w:val="18"/>
        </w:rPr>
        <w:t xml:space="preserve"> analysis files for one model with different extensions and will clutter the folder in which you saved the model file.</w:t>
      </w:r>
    </w:p>
    <w:p w:rsidR="00497DF4" w:rsidRDefault="00497DF4" w:rsidP="00497DF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Also remember that you won't be able to undo or redo after you have clicked on run analysis button so make sure to check again all the changes.</w:t>
      </w:r>
    </w:p>
    <w:p w:rsidR="00497DF4" w:rsidRDefault="00497DF4" w:rsidP="00497DF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Lets run the actual analysis now.</w:t>
      </w:r>
    </w:p>
    <w:p w:rsidR="00497DF4" w:rsidRDefault="00497DF4" w:rsidP="00497DF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will see a small window with different numbers and analysis status. Depending upon the number of nodes and elements in your model time taken for analysis in ETABS will from just a few seconds to many hours.</w:t>
      </w:r>
    </w:p>
    <w:p w:rsidR="00497DF4" w:rsidRDefault="00497DF4" w:rsidP="00497DF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After analysis a deformed shape under some load cases is displayed and ETABS is ready for the post process operations. And congrats you have finished analyzing your first model at ostruc.</w:t>
      </w:r>
    </w:p>
    <w:p w:rsidR="00497DF4" w:rsidRDefault="00497DF4" w:rsidP="00497DF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Notice that undo and redo options are disabled now. You will also notice that this lock was opened before analysis which is closed now. It means you the model is locked now and you cannot change anything now except reading analysis results. If you want to change some sections or loading you need to open the model from this lock. But doing so will delete model analysis results. You can do the changes and run the model again. In fact this happens a lot more than what you think right now in actual life. You need to constantly update or change model from time to time to change loading, member sizes, to accommodate architectural changes or to rectify your model for bugs and ill conditioning etc.</w:t>
      </w:r>
    </w:p>
    <w:p w:rsidR="00270308" w:rsidRDefault="00270308"/>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97DF4"/>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97DF4"/>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B4949"/>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7DF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5403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1603</Characters>
  <Application>Microsoft Office Word</Application>
  <DocSecurity>0</DocSecurity>
  <Lines>13</Lines>
  <Paragraphs>3</Paragraphs>
  <ScaleCrop>false</ScaleCrop>
  <Company/>
  <LinksUpToDate>false</LinksUpToDate>
  <CharactersWithSpaces>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2015-06-01T13:56:00Z</dcterms:created>
  <dcterms:modified xsi:type="dcterms:W3CDTF">2015-06-01T13:56:00Z</dcterms:modified>
</cp:coreProperties>
</file>